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4" Type="http://schemas.openxmlformats.org/officeDocument/2006/relationships/extended-properties" Target="docProps/app.xml"/><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一、具体技术要求</w:t>
      </w:r>
    </w:p>
    <w:tbl>
      <w:tblPr>
        <w:tblStyle w:val="TableGrid"/>
        <w:tblW w:type="auto" w:w="0"/>
        <w:tblLook w:firstColumn="1" w:firstRow="1" w:lastColumn="0" w:lastRow="0" w:noHBand="0" w:noVBand="1" w:val="04A0"/>
      </w:tblPr>
      <w:tblGrid>
        <w:gridCol w:w="2160"/>
        <w:gridCol w:w="2160"/>
        <w:gridCol w:w="2160"/>
        <w:gridCol w:w="2160"/>
      </w:tblGrid>
      <w:tr>
        <w:tc>
          <w:tcPr>
            <w:tcW w:type="dxa" w:w="2160"/>
          </w:tcPr>
          <w:p>
            <w:r>
              <w:t>序号</w:t>
            </w:r>
          </w:p>
        </w:tc>
        <w:tc>
          <w:tcPr>
            <w:tcW w:type="dxa" w:w="2160"/>
          </w:tcPr>
          <w:p>
            <w:r>
              <w:t>货物名称</w:t>
            </w:r>
          </w:p>
        </w:tc>
        <w:tc>
          <w:tcPr>
            <w:tcW w:type="dxa" w:w="4320"/>
            <w:gridSpan w:val="2"/>
          </w:tcPr>
          <w:p>
            <w:r>
              <w:t>技术要求</w:t>
            </w:r>
          </w:p>
        </w:tc>
      </w:tr>
      <w:tr>
        <w:tc>
          <w:tcPr>
            <w:tcW w:type="dxa" w:w="4320"/>
            <w:gridSpan w:val="2"/>
          </w:tcPr>
          <w:p>
            <w:r>
              <w:t>总体要求</w:t>
            </w:r>
          </w:p>
        </w:tc>
        <w:tc>
          <w:tcPr>
            <w:tcW w:type="dxa" w:w="4320"/>
            <w:gridSpan w:val="2"/>
          </w:tcPr>
          <w:p>
            <w:r>
              <w:t>1.自动识别注射器：规格为5ml 、10ml、20 ml、30 ml、50（60） ml所有符合标准的注射器</w:t>
              <w:br/>
              <w:br/>
              <w:t>▲2.≥8种输液模式可选：速度模式、时间模式、体重模式、梯度模式、首剂量模式、序列模式、TIVA模式、微量模式</w:t>
              <w:br/>
              <w:br/>
              <w:t>2.1序列模式可设置10组序列</w:t>
              <w:br/>
              <w:br/>
              <w:t>▲3.速率范围：0.1-2000ml/h（最小0.01 ml/h递增）</w:t>
              <w:br/>
              <w:br/>
              <w:t>4.预置量范围：0.1– 9999ml（最小0.01 ml/h递增）</w:t>
              <w:br/>
              <w:br/>
              <w:t>5.注射总量显示范围：0-99999.99ml</w:t>
              <w:br/>
              <w:br/>
              <w:t>6.注射精度: ≤±2% 机械精度≤±1%</w:t>
              <w:br/>
              <w:br/>
              <w:t xml:space="preserve">7.KVO速度：0.1-5ml/h可调，KVO设置为0时关闭KVO </w:t>
              <w:br/>
              <w:br/>
              <w:t>8.阻塞级别：225mmHg-975mmHg，11级可选择，动态显示管路的压力状态</w:t>
              <w:br/>
              <w:br/>
              <w:t>▲9.3.5英寸触摸屏：全中文显示，方便快捷的人机操作界面</w:t>
              <w:br/>
              <w:br/>
              <w:t>10.更改速度时完全不需要中断输液</w:t>
              <w:br/>
              <w:br/>
              <w:t>11.具有手动快进、快速定量快进、自动快进等三种快进方式可选</w:t>
              <w:br/>
              <w:br/>
              <w:t>12.具备注射精度校正功能：用户可自定义其他符合标准的注射器</w:t>
              <w:br/>
              <w:br/>
              <w:t>13.具有防碰撞把手设计，方便转运，同时防止运行中的意外碰撞，保证注射安全</w:t>
              <w:br/>
              <w:br/>
              <w:t>14. 报警：输注即将完成、输注完成、注射器排空、注射器即将排空、输注阻塞、压力值过大、电池电量低、电池耗竭、无电池、无外部电源、注射器无法识别、注射器安装错误、待机结束、无法启动注射、遗忘操作</w:t>
              <w:br/>
              <w:br/>
              <w:t>15.再报警功能：静音报警声音后，若仍然存在报警，约2分钟后，将继续报警</w:t>
              <w:br/>
              <w:br/>
              <w:t>16.事件记录功能：能够存储、回放</w:t>
              <w:br/>
              <w:br/>
              <w:t>17.支持内置药物库</w:t>
              <w:br/>
              <w:br/>
              <w:t>18.声音音量等级：可调10级报警音量。</w:t>
              <w:br/>
              <w:br/>
              <w:t>19.夜间模式：可自动降低亮度和报警音量，时间段可调</w:t>
              <w:br/>
              <w:br/>
              <w:t>20.可选择无线或者有线两种方式连接静脉输注中央站</w:t>
              <w:br/>
              <w:br/>
              <w:t>21.可与静脉输注中央站实现护士呼叫功能</w:t>
              <w:br/>
              <w:br/>
              <w:t>22.I类，CF型；IP24</w:t>
              <w:br/>
              <w:br/>
              <w:t>23.内置锂电池，在中速（5ml/h）状态下，标配电池工作时间不小于6小时；可选配大容量锂电池，工作时间不小于20小时</w:t>
              <w:br/>
              <w:br/>
              <w:t>▲24.重量：约1.8kg（包含标配电池）</w:t>
              <w:br/>
              <w:br/>
              <w:br/>
              <w:br/>
            </w:r>
          </w:p>
        </w:tc>
      </w:tr>
      <w:tr>
        <w:tc>
          <w:tcPr>
            <w:tcW w:type="dxa" w:w="2160"/>
          </w:tcPr>
          <w:p>
            <w:r>
              <w:t>2</w:t>
            </w:r>
          </w:p>
        </w:tc>
        <w:tc>
          <w:tcPr>
            <w:tcW w:type="dxa" w:w="2160"/>
          </w:tcPr>
          <w:p>
            <w:r>
              <w:t>主机要求</w:t>
            </w:r>
          </w:p>
        </w:tc>
        <w:tc>
          <w:tcPr>
            <w:tcW w:type="dxa" w:w="4320"/>
            <w:gridSpan w:val="2"/>
          </w:tcPr>
          <w:p>
            <w:r>
              <w:t>1.自动识别注射器：规格为5ml 、10ml、20 ml、30 ml、50（60） ml所有符合标准的注射器</w:t>
              <w:br/>
              <w:br/>
              <w:t>▲2.≥8种输液模式可选：速度模式、时间模式、体重模式、梯度模式、首剂量模式、序列模式、TIVA模式、微量模式</w:t>
              <w:br/>
              <w:br/>
              <w:t>2.1序列模式可设置10组序列</w:t>
              <w:br/>
              <w:br/>
              <w:t>▲3.速率范围：0.1-2000ml/h（最小0.01 ml/h递增）</w:t>
              <w:br/>
              <w:br/>
              <w:t>4.预置量范围：0.1– 9999ml（最小0.01 ml/h递增）</w:t>
              <w:br/>
              <w:br/>
              <w:t>5.注射总量显示范围：0-99999.99ml</w:t>
              <w:br/>
              <w:br/>
              <w:t>6.注射精度: ≤±2% 机械精度≤±1%</w:t>
              <w:br/>
              <w:br/>
              <w:t xml:space="preserve">7.KVO速度：0.1-5ml/h可调，KVO设置为0时关闭KVO </w:t>
              <w:br/>
              <w:br/>
              <w:t>8.阻塞级别：225mmHg-975mmHg，11级可选择，动态显示管路的压力状态</w:t>
              <w:br/>
              <w:br/>
              <w:t>▲9.3.5英寸触摸屏：全中文显示，方便快捷的人机操作界面</w:t>
              <w:br/>
              <w:br/>
              <w:t>10.更改速度时完全不需要中断输液</w:t>
              <w:br/>
              <w:br/>
              <w:t>11.具有手动快进、快速定量快进、自动快进等三种快进方式可选</w:t>
              <w:br/>
              <w:br/>
              <w:t>12.具备注射精度校正功能：用户可自定义其他符合标准的注射器</w:t>
              <w:br/>
              <w:br/>
              <w:t>13.具有防碰撞把手设计，方便转运，同时防止运行中的意外碰撞，保证注射安全</w:t>
              <w:br/>
              <w:br/>
              <w:t>14. 报警：输注即将完成、输注完成、注射器排空、注射器即将排空、输注阻塞、压力值过大、电池电量低、电池耗竭、无电池、无外部电源、注射器无法识别、注射器安装错误、待机结束、无法启动注射、遗忘操作</w:t>
              <w:br/>
              <w:br/>
              <w:t>15.再报警功能：静音报警声音后，若仍然存在报警，约2分钟后，将继续报警</w:t>
              <w:br/>
              <w:br/>
              <w:t>16.事件记录功能：能够存储、回放</w:t>
              <w:br/>
              <w:br/>
              <w:t>17.支持内置药物库</w:t>
              <w:br/>
              <w:br/>
              <w:t>18.声音音量等级：可调10级报警音量。</w:t>
              <w:br/>
              <w:br/>
              <w:t>19.夜间模式：可自动降低亮度和报警音量，时间段可调</w:t>
              <w:br/>
              <w:br/>
              <w:t>20.可选择无线或者有线两种方式连接静脉输注中央站</w:t>
              <w:br/>
              <w:br/>
              <w:t>21.可与静脉输注中央站实现护士呼叫功能</w:t>
              <w:br/>
              <w:br/>
              <w:t>22.I类，CF型；IP24</w:t>
              <w:br/>
              <w:br/>
              <w:t>23.内置锂电池，在中速（5ml/h）状态下，标配电池工作时间不小于6小时；可选配大容量锂电池，工作时间不小于20小时</w:t>
              <w:br/>
              <w:br/>
              <w:t>▲24.重量：约1.8kg（包含标配电池）</w:t>
              <w:br/>
              <w:br/>
              <w:br/>
              <w:br/>
            </w:r>
          </w:p>
        </w:tc>
      </w:tr>
      <w:tr>
        <w:tc>
          <w:tcPr>
            <w:tcW w:type="dxa" w:w="2160"/>
          </w:tcPr>
          <w:p>
            <w:r>
              <w:t>2</w:t>
            </w:r>
          </w:p>
        </w:tc>
        <w:tc>
          <w:tcPr>
            <w:tcW w:type="dxa" w:w="2160"/>
          </w:tcPr>
          <w:p>
            <w:r>
              <w:t>附属设备要求</w:t>
            </w:r>
          </w:p>
        </w:tc>
        <w:tc>
          <w:tcPr>
            <w:tcW w:type="dxa" w:w="4320"/>
            <w:gridSpan w:val="2"/>
          </w:tcPr>
          <w:p>
            <w:r>
              <w:t>无</w:t>
            </w:r>
          </w:p>
        </w:tc>
      </w:tr>
      <w:tr>
        <w:tc>
          <w:tcPr>
            <w:tcW w:type="dxa" w:w="8640"/>
            <w:gridSpan w:val="4"/>
          </w:tcPr>
          <w:p>
            <w:r>
              <w:t>配置清单 (注：配置清单需明确数量、单位、且不可涉及产地品牌型号等)</w:t>
            </w:r>
          </w:p>
        </w:tc>
      </w:tr>
      <w:tr>
        <w:tc>
          <w:tcPr>
            <w:tcW w:type="dxa" w:w="2160"/>
          </w:tcPr>
          <w:p>
            <w:r>
              <w:t>序号</w:t>
            </w:r>
          </w:p>
        </w:tc>
        <w:tc>
          <w:tcPr>
            <w:tcW w:type="dxa" w:w="2160"/>
          </w:tcPr>
          <w:p>
            <w:r>
              <w:t>名称</w:t>
            </w:r>
          </w:p>
        </w:tc>
        <w:tc>
          <w:tcPr>
            <w:tcW w:type="dxa" w:w="2160"/>
          </w:tcPr>
          <w:p>
            <w:r>
              <w:t>单位</w:t>
            </w:r>
          </w:p>
        </w:tc>
        <w:tc>
          <w:tcPr>
            <w:tcW w:type="dxa" w:w="2160"/>
          </w:tcPr>
          <w:p>
            <w:r>
              <w:t>数量</w:t>
            </w:r>
          </w:p>
        </w:tc>
      </w:tr>
      <w:tr>
        <w:tc>
          <w:tcPr>
            <w:tcW w:type="dxa" w:w="2160"/>
          </w:tcPr>
          <w:p>
            <w:r>
              <w:t>1</w:t>
            </w:r>
          </w:p>
        </w:tc>
        <w:tc>
          <w:tcPr>
            <w:tcW w:type="dxa" w:w="2160"/>
          </w:tcPr>
          <w:p>
            <w:r>
              <w:t>单通道注射泵</w:t>
            </w:r>
          </w:p>
        </w:tc>
        <w:tc>
          <w:tcPr>
            <w:tcW w:type="dxa" w:w="2160"/>
          </w:tcPr>
          <w:p>
            <w:r>
              <w:t>台</w:t>
            </w:r>
          </w:p>
        </w:tc>
        <w:tc>
          <w:tcPr>
            <w:tcW w:type="dxa" w:w="2160"/>
          </w:tcPr>
          <w:p>
            <w:r>
              <w:t>1</w:t>
            </w:r>
          </w:p>
        </w:tc>
      </w:tr>
    </w:tbl>
    <w:p>
      <w:r>
        <w:t>二、商务条款</w:t>
      </w:r>
    </w:p>
    <w:tbl>
      <w:tblPr>
        <w:tblStyle w:val="TableGrid"/>
        <w:tblW w:type="auto" w:w="0"/>
        <w:tblLook w:firstColumn="1" w:firstRow="1" w:lastColumn="0" w:lastRow="0" w:noHBand="0" w:noVBand="1" w:val="04A0"/>
      </w:tblPr>
      <w:tblGrid>
        <w:gridCol w:w="2880"/>
        <w:gridCol w:w="2880"/>
        <w:gridCol w:w="2880"/>
      </w:tblGrid>
      <w:tr>
        <w:tc>
          <w:tcPr>
            <w:tcW w:type="dxa" w:w="2880"/>
          </w:tcPr>
          <w:p>
            <w:r>
              <w:t>序号</w:t>
            </w:r>
          </w:p>
        </w:tc>
        <w:tc>
          <w:tcPr>
            <w:tcW w:type="dxa" w:w="2880"/>
          </w:tcPr>
          <w:p>
            <w:r>
              <w:t>目录</w:t>
            </w:r>
          </w:p>
        </w:tc>
        <w:tc>
          <w:tcPr>
            <w:tcW w:type="dxa" w:w="2880"/>
          </w:tcPr>
          <w:p>
            <w:r>
              <w:t>商务要求</w:t>
            </w:r>
          </w:p>
        </w:tc>
      </w:tr>
      <w:tr>
        <w:tc>
          <w:tcPr>
            <w:tcW w:type="dxa" w:w="8640"/>
            <w:gridSpan w:val="3"/>
          </w:tcPr>
          <w:p>
            <w:r>
              <w:t>（一）免费保修期内售后服务要求</w:t>
            </w:r>
          </w:p>
        </w:tc>
      </w:tr>
      <w:tr>
        <w:tc>
          <w:tcPr>
            <w:tcW w:type="dxa" w:w="2880"/>
            <w:vMerge w:val="restart"/>
          </w:tcPr>
          <w:p>
            <w:r>
              <w:t>1</w:t>
            </w:r>
          </w:p>
        </w:tc>
        <w:tc>
          <w:tcPr>
            <w:tcW w:type="dxa" w:w="2880"/>
            <w:vMerge w:val="restart"/>
          </w:tcPr>
          <w:p>
            <w:r>
              <w:t>维修及维护服务</w:t>
            </w:r>
          </w:p>
        </w:tc>
        <w:tc>
          <w:tcPr>
            <w:tcW w:type="dxa" w:w="2880"/>
          </w:tcPr>
          <w:p>
            <w:r>
              <w:t>★1.1 一般情况下国产货物自签订合同之日起 30 日历日内、进口货物自60日历日内交货并安装调试交付验收，特殊情况下国产货物可延迟至 60 日、进口设备可延迟至 90 日交货。</w:t>
            </w:r>
          </w:p>
        </w:tc>
      </w:tr>
      <w:tr>
        <w:tc>
          <w:tcPr>
            <w:tcW w:type="dxa" w:w="2880"/>
            <w:vMerge/>
          </w:tcPr>
          <w:p/>
        </w:tc>
        <w:tc>
          <w:tcPr>
            <w:tcW w:type="dxa" w:w="2880"/>
            <w:vMerge/>
          </w:tcPr>
          <w:p/>
        </w:tc>
        <w:tc>
          <w:tcPr>
            <w:tcW w:type="dxa" w:w="2880"/>
          </w:tcPr>
          <w:p>
            <w:r>
              <w:t>1.2免费保修期内,年度定期预防性维护保养次数应不少于 4 次。保修期内免费更换零配件、免工时费。每次预防性维护保养后应出具符合厂家标准的保养记录，每年度提供符合厂家技术标准或第三方认可的质控报告。</w:t>
            </w:r>
          </w:p>
        </w:tc>
      </w:tr>
      <w:tr>
        <w:tc>
          <w:tcPr>
            <w:tcW w:type="dxa" w:w="2880"/>
            <w:vMerge/>
          </w:tcPr>
          <w:p/>
        </w:tc>
        <w:tc>
          <w:tcPr>
            <w:tcW w:type="dxa" w:w="2880"/>
            <w:vMerge/>
          </w:tcPr>
          <w:p/>
        </w:tc>
        <w:tc>
          <w:tcPr>
            <w:tcW w:type="dxa" w:w="2880"/>
          </w:tcPr>
          <w:p>
            <w:r>
              <w:t>1.3由设备制造商提供售后服务，4 小时内响应，24 小时维修到位（不可抗力情况除外）。消耗品和零配件供应及时，特殊情况下可提供备用机。</w:t>
            </w:r>
          </w:p>
        </w:tc>
      </w:tr>
      <w:tr>
        <w:tc>
          <w:tcPr>
            <w:tcW w:type="dxa" w:w="2880"/>
            <w:vMerge/>
          </w:tcPr>
          <w:p/>
        </w:tc>
        <w:tc>
          <w:tcPr>
            <w:tcW w:type="dxa" w:w="2880"/>
            <w:vMerge/>
          </w:tcPr>
          <w:p/>
        </w:tc>
        <w:tc>
          <w:tcPr>
            <w:tcW w:type="dxa" w:w="2880"/>
          </w:tcPr>
          <w:p>
            <w:r>
              <w:t>★1.4提供设备原厂服务，负责货物的终身维修，保证10年以上供应维修配件，5年内免费提供软件升级服务，并免费配合医院完成设备端信息化接口改造。</w:t>
            </w:r>
          </w:p>
        </w:tc>
      </w:tr>
      <w:tr>
        <w:tc>
          <w:tcPr>
            <w:tcW w:type="dxa" w:w="2880"/>
          </w:tcPr>
          <w:p>
            <w:r>
              <w:t>2</w:t>
            </w:r>
          </w:p>
        </w:tc>
        <w:tc>
          <w:tcPr>
            <w:tcW w:type="dxa" w:w="2880"/>
          </w:tcPr>
          <w:p>
            <w:r>
              <w:t>质量保证</w:t>
            </w:r>
          </w:p>
        </w:tc>
        <w:tc>
          <w:tcPr>
            <w:tcW w:type="dxa" w:w="2880"/>
          </w:tcPr>
          <w:p>
            <w:r>
              <w:t>2.1在免费保修期内, 投标人应确保年开机率在95%以上, 若不能达到此开机率，将作以下处理：a. 年开机率在90-95%之间按一赔五延长保修期；b. 年开机率在85-90%之间按一赔十延长保修期；c. 年开机率低于85%，投标人必须无条件更换新机，并重新计算保修期，以及赔偿用户的直接经济损失和间接经济损失。注：年开机率=（365-停机天数）/365）</w:t>
            </w:r>
          </w:p>
        </w:tc>
      </w:tr>
      <w:tr>
        <w:tc>
          <w:tcPr>
            <w:tcW w:type="dxa" w:w="8640"/>
            <w:gridSpan w:val="3"/>
          </w:tcPr>
          <w:p>
            <w:r>
              <w:t>（二）免费保修期外售后服务要求</w:t>
            </w:r>
          </w:p>
        </w:tc>
      </w:tr>
      <w:tr>
        <w:tc>
          <w:tcPr>
            <w:tcW w:type="dxa" w:w="2880"/>
            <w:vMerge w:val="restart"/>
          </w:tcPr>
          <w:p>
            <w:r>
              <w:t>1</w:t>
            </w:r>
          </w:p>
        </w:tc>
        <w:tc>
          <w:tcPr>
            <w:tcW w:type="dxa" w:w="2880"/>
            <w:vMerge w:val="restart"/>
          </w:tcPr>
          <w:p>
            <w:r>
              <w:t>服务内容及要求</w:t>
            </w:r>
          </w:p>
        </w:tc>
        <w:tc>
          <w:tcPr>
            <w:tcW w:type="dxa" w:w="2880"/>
          </w:tcPr>
          <w:p>
            <w:r>
              <w:t>1.1由设备制造商提供售后服务，4小时内响应，24小时维修到位（不可抗力情况除外）。消耗品和零配件供应及时，特殊情况下可提供备用机。</w:t>
            </w:r>
          </w:p>
        </w:tc>
      </w:tr>
      <w:tr>
        <w:tc>
          <w:tcPr>
            <w:tcW w:type="dxa" w:w="2880"/>
            <w:vMerge/>
          </w:tcPr>
          <w:p/>
        </w:tc>
        <w:tc>
          <w:tcPr>
            <w:tcW w:type="dxa" w:w="2880"/>
            <w:vMerge/>
          </w:tcPr>
          <w:p/>
        </w:tc>
        <w:tc>
          <w:tcPr>
            <w:tcW w:type="dxa" w:w="2880"/>
          </w:tcPr>
          <w:p>
            <w:r>
              <w:t>★1.2免费保修期满后提供设备原厂服务，负责货物的终身维修，以优惠价供应维修零配件、消耗品和延续保修合同，保证免费保修期满后 7 年以上供应维修配件， 2 年内免费提供软件升级服务。价格最高的前5项零配件、消耗品和延续全保修合同、部分备件与人工保修合同、仅人工保修合同的报价明细必须填写于《零配件、消耗品和延续保修合同报价明清单》中。</w:t>
            </w:r>
          </w:p>
        </w:tc>
      </w:tr>
      <w:tr>
        <w:tc>
          <w:tcPr>
            <w:tcW w:type="dxa" w:w="2880"/>
            <w:vMerge/>
          </w:tcPr>
          <w:p/>
        </w:tc>
        <w:tc>
          <w:tcPr>
            <w:tcW w:type="dxa" w:w="2880"/>
            <w:vMerge/>
          </w:tcPr>
          <w:p/>
        </w:tc>
        <w:tc>
          <w:tcPr>
            <w:tcW w:type="dxa" w:w="2880"/>
          </w:tcPr>
          <w:p>
            <w:r>
              <w:t>1.3维修的货物经采购人验收合格，且设备制造商提供维修专用发票后，采购人支付维修费用。</w:t>
            </w:r>
          </w:p>
        </w:tc>
      </w:tr>
      <w:tr>
        <w:tc>
          <w:tcPr>
            <w:tcW w:type="dxa" w:w="2880"/>
            <w:vMerge/>
          </w:tcPr>
          <w:p/>
        </w:tc>
        <w:tc>
          <w:tcPr>
            <w:tcW w:type="dxa" w:w="2880"/>
            <w:vMerge/>
          </w:tcPr>
          <w:p/>
        </w:tc>
        <w:tc>
          <w:tcPr>
            <w:tcW w:type="dxa" w:w="2880"/>
          </w:tcPr>
          <w:p>
            <w:r>
              <w:t>1.4采购人可与投标人就优惠价进行谈判，但优惠价不得高于投标人在投标文件的《零配件、消耗品和延续保修合同报价明清单》中承诺的维修零配件、消耗品和延续保修合同的报价。</w:t>
            </w:r>
          </w:p>
        </w:tc>
      </w:tr>
      <w:tr>
        <w:tc>
          <w:tcPr>
            <w:tcW w:type="dxa" w:w="2880"/>
            <w:vMerge/>
          </w:tcPr>
          <w:p/>
        </w:tc>
        <w:tc>
          <w:tcPr>
            <w:tcW w:type="dxa" w:w="2880"/>
            <w:vMerge/>
          </w:tcPr>
          <w:p/>
        </w:tc>
        <w:tc>
          <w:tcPr>
            <w:tcW w:type="dxa" w:w="2880"/>
          </w:tcPr>
          <w:p>
            <w:r>
              <w:t>1.5投标人及设备制造商不得以任何理由不按时进行维修，不得要求采购人购买所谓“保修服务”（即：不论设备有无故障先买保修服务），不得在设备中嵌设任何不利于采购人使用与维修设备的障碍。在规定的设备使用寿命期限内保证相关配件供应。</w:t>
            </w:r>
          </w:p>
        </w:tc>
      </w:tr>
      <w:tr>
        <w:tc>
          <w:tcPr>
            <w:tcW w:type="dxa" w:w="8640"/>
            <w:gridSpan w:val="3"/>
          </w:tcPr>
          <w:p>
            <w:r>
              <w:t>（三）其他商务要求</w:t>
            </w:r>
          </w:p>
        </w:tc>
      </w:tr>
      <w:tr>
        <w:tc>
          <w:tcPr>
            <w:tcW w:type="dxa" w:w="2880"/>
            <w:vMerge w:val="restart"/>
          </w:tcPr>
          <w:p>
            <w:r>
              <w:t>1</w:t>
            </w:r>
          </w:p>
        </w:tc>
        <w:tc>
          <w:tcPr>
            <w:tcW w:type="dxa" w:w="2880"/>
            <w:vMerge w:val="restart"/>
          </w:tcPr>
          <w:p>
            <w:r>
              <w:t>交货条件</w:t>
            </w:r>
          </w:p>
        </w:tc>
        <w:tc>
          <w:tcPr>
            <w:tcW w:type="dxa" w:w="2880"/>
          </w:tcPr>
          <w:p>
            <w:r>
              <w:t>★1.1投标人在签订合同之日起 30日历日内交货并安装调试完毕，交付采购人验收。</w:t>
            </w:r>
          </w:p>
        </w:tc>
      </w:tr>
      <w:tr>
        <w:tc>
          <w:tcPr>
            <w:tcW w:type="dxa" w:w="2880"/>
            <w:vMerge/>
          </w:tcPr>
          <w:p/>
        </w:tc>
        <w:tc>
          <w:tcPr>
            <w:tcW w:type="dxa" w:w="2880"/>
            <w:vMerge/>
          </w:tcPr>
          <w:p/>
        </w:tc>
        <w:tc>
          <w:tcPr>
            <w:tcW w:type="dxa" w:w="2880"/>
          </w:tcPr>
          <w:p>
            <w:r>
              <w:t>1.2签订合同后，如涉及机房装修改造，需立即向医院出具机房装修要求的各种资料。</w:t>
            </w:r>
          </w:p>
        </w:tc>
      </w:tr>
      <w:tr>
        <w:tc>
          <w:tcPr>
            <w:tcW w:type="dxa" w:w="2880"/>
            <w:vMerge/>
          </w:tcPr>
          <w:p/>
        </w:tc>
        <w:tc>
          <w:tcPr>
            <w:tcW w:type="dxa" w:w="2880"/>
            <w:vMerge/>
          </w:tcPr>
          <w:p/>
        </w:tc>
        <w:tc>
          <w:tcPr>
            <w:tcW w:type="dxa" w:w="2880"/>
          </w:tcPr>
          <w:p>
            <w:r>
              <w:t>1.3投标人应提供货物的技术文件，包括但不限于设备配置清单、产品说明书、图纸、操作手册、维护手册（含维修密码及接口数据）、质量保证文件、服务指南等，所有外文资料须提供中文译本。文件应随货物一并交付至采购人指定地点。</w:t>
            </w:r>
          </w:p>
        </w:tc>
      </w:tr>
      <w:tr>
        <w:tc>
          <w:tcPr>
            <w:tcW w:type="dxa" w:w="2880"/>
            <w:vMerge/>
          </w:tcPr>
          <w:p/>
        </w:tc>
        <w:tc>
          <w:tcPr>
            <w:tcW w:type="dxa" w:w="2880"/>
            <w:vMerge/>
          </w:tcPr>
          <w:p/>
        </w:tc>
        <w:tc>
          <w:tcPr>
            <w:tcW w:type="dxa" w:w="2880"/>
          </w:tcPr>
          <w:p>
            <w:r>
              <w:t>1.4提供的货物必须为全新、经检验合格的产品。产品如需要计量检定的应提供相关计量检定部门出具的合法检定报告。其中，进口设备必须具有报关证明文件、原产地证明和商检合格证明文件。</w:t>
            </w:r>
          </w:p>
        </w:tc>
      </w:tr>
      <w:tr>
        <w:tc>
          <w:tcPr>
            <w:tcW w:type="dxa" w:w="2880"/>
            <w:vMerge/>
          </w:tcPr>
          <w:p/>
        </w:tc>
        <w:tc>
          <w:tcPr>
            <w:tcW w:type="dxa" w:w="2880"/>
            <w:vMerge/>
          </w:tcPr>
          <w:p/>
        </w:tc>
        <w:tc>
          <w:tcPr>
            <w:tcW w:type="dxa" w:w="2880"/>
          </w:tcPr>
          <w:p>
            <w:r>
              <w:t>1.5如涉及机房装修改造，供应商应提供机房内与安装设备直接相关的器具和部件，包括从配电箱到主机的电缆线，专用导轨吊架和地梁钢结构等设备专用配套配件，采购人仅负责通用要求的放射防护装修。</w:t>
            </w:r>
          </w:p>
        </w:tc>
      </w:tr>
      <w:tr>
        <w:tc>
          <w:tcPr>
            <w:tcW w:type="dxa" w:w="2880"/>
            <w:vMerge/>
          </w:tcPr>
          <w:p/>
        </w:tc>
        <w:tc>
          <w:tcPr>
            <w:tcW w:type="dxa" w:w="2880"/>
            <w:vMerge/>
          </w:tcPr>
          <w:p/>
        </w:tc>
        <w:tc>
          <w:tcPr>
            <w:tcW w:type="dxa" w:w="2880"/>
          </w:tcPr>
          <w:p>
            <w:r/>
          </w:p>
        </w:tc>
      </w:tr>
      <w:tr>
        <w:tc>
          <w:tcPr>
            <w:tcW w:type="dxa" w:w="2880"/>
            <w:vMerge w:val="restart"/>
          </w:tcPr>
          <w:p>
            <w:r>
              <w:t>2</w:t>
            </w:r>
          </w:p>
        </w:tc>
        <w:tc>
          <w:tcPr>
            <w:tcW w:type="dxa" w:w="2880"/>
            <w:vMerge w:val="restart"/>
          </w:tcPr>
          <w:p>
            <w:r>
              <w:t>运输、安装和验收</w:t>
            </w:r>
          </w:p>
        </w:tc>
        <w:tc>
          <w:tcPr>
            <w:tcW w:type="dxa" w:w="2880"/>
          </w:tcPr>
          <w:p>
            <w:r>
              <w:t>2.1投标人负责将货物安全无损运抵采购人指定地点,并承担设备的包装、运输、保险、装卸、安装调试、培训、商检及计量检测、关税、增值税和进口代理等费用。</w:t>
            </w:r>
          </w:p>
        </w:tc>
      </w:tr>
      <w:tr>
        <w:tc>
          <w:tcPr>
            <w:tcW w:type="dxa" w:w="2880"/>
            <w:vMerge/>
          </w:tcPr>
          <w:p/>
        </w:tc>
        <w:tc>
          <w:tcPr>
            <w:tcW w:type="dxa" w:w="2880"/>
            <w:vMerge/>
          </w:tcPr>
          <w:p/>
        </w:tc>
        <w:tc>
          <w:tcPr>
            <w:tcW w:type="dxa" w:w="2880"/>
          </w:tcPr>
          <w:p>
            <w:r>
              <w:t>2.2采购人有权检验或测试货物，以确认货物是否符合合同规格的要求，并且不承担额外的费用。如果发现所交货物与投标文件中所承诺的不符或存在质量、技术缺陷等,采购人可以拒绝接收该货物,投标人应在7天内采取补足、更换或退货等措施,以满足规格的要求，由此发生的一切损失和费用由投标人承担。</w:t>
            </w:r>
          </w:p>
        </w:tc>
      </w:tr>
      <w:tr>
        <w:tc>
          <w:tcPr>
            <w:tcW w:type="dxa" w:w="2880"/>
            <w:vMerge/>
          </w:tcPr>
          <w:p/>
        </w:tc>
        <w:tc>
          <w:tcPr>
            <w:tcW w:type="dxa" w:w="2880"/>
            <w:vMerge/>
          </w:tcPr>
          <w:p/>
        </w:tc>
        <w:tc>
          <w:tcPr>
            <w:tcW w:type="dxa" w:w="2880"/>
          </w:tcPr>
          <w:p>
            <w:r>
              <w:t>2.3投标人与院方设备验收人员共同确认安装条件符合相关技术要求后方可发出货物，投标人负责货物的现场安装和调试,提供货物安装、调试和维修所需的专用工具和辅助材料。投标人应在货物运至指定地点后一周内开始安装调试,并在5天内安装调试完毕。</w:t>
            </w:r>
          </w:p>
        </w:tc>
      </w:tr>
      <w:tr>
        <w:tc>
          <w:tcPr>
            <w:tcW w:type="dxa" w:w="2880"/>
            <w:vMerge/>
          </w:tcPr>
          <w:p/>
        </w:tc>
        <w:tc>
          <w:tcPr>
            <w:tcW w:type="dxa" w:w="2880"/>
            <w:vMerge/>
          </w:tcPr>
          <w:p/>
        </w:tc>
        <w:tc>
          <w:tcPr>
            <w:tcW w:type="dxa" w:w="2880"/>
          </w:tcPr>
          <w:p>
            <w:r>
              <w:t>2.4由投标人代表和采购人组成验收小组对产品进行验收。验收标准按照国家规定标准执行。经检验设备正常运作后签署验收报告,产品保修期自验收合格之日起算。</w:t>
            </w:r>
          </w:p>
        </w:tc>
      </w:tr>
      <w:tr>
        <w:tc>
          <w:tcPr>
            <w:tcW w:type="dxa" w:w="2880"/>
            <w:vMerge/>
          </w:tcPr>
          <w:p/>
        </w:tc>
        <w:tc>
          <w:tcPr>
            <w:tcW w:type="dxa" w:w="2880"/>
            <w:vMerge/>
          </w:tcPr>
          <w:p/>
        </w:tc>
        <w:tc>
          <w:tcPr>
            <w:tcW w:type="dxa" w:w="2880"/>
          </w:tcPr>
          <w:p>
            <w:r>
              <w:t>2.5设备安装过程中不得破坏已有设备、器具和装修，如有损坏，需无条件恢复原状。</w:t>
            </w:r>
          </w:p>
        </w:tc>
      </w:tr>
      <w:tr>
        <w:tc>
          <w:tcPr>
            <w:tcW w:type="dxa" w:w="2880"/>
            <w:vMerge/>
          </w:tcPr>
          <w:p/>
        </w:tc>
        <w:tc>
          <w:tcPr>
            <w:tcW w:type="dxa" w:w="2880"/>
            <w:vMerge/>
          </w:tcPr>
          <w:p/>
        </w:tc>
        <w:tc>
          <w:tcPr>
            <w:tcW w:type="dxa" w:w="2880"/>
          </w:tcPr>
          <w:p>
            <w:r>
              <w:t>2.6如安装过程需要吊装、搬运工人超过3人等情况，需提前一周向医院设备科、总务科申报，办理入场手续，所有院外工作人员在院区内工作，需接受医院监管，佩戴医院发放的工牌，禁止吸烟及一切危害公共安全的行为，对有可能造成消防报警的，需提前申报。</w:t>
            </w:r>
          </w:p>
        </w:tc>
      </w:tr>
      <w:tr>
        <w:tc>
          <w:tcPr>
            <w:tcW w:type="dxa" w:w="2880"/>
            <w:vMerge/>
          </w:tcPr>
          <w:p/>
        </w:tc>
        <w:tc>
          <w:tcPr>
            <w:tcW w:type="dxa" w:w="2880"/>
            <w:vMerge/>
          </w:tcPr>
          <w:p/>
        </w:tc>
        <w:tc>
          <w:tcPr>
            <w:tcW w:type="dxa" w:w="2880"/>
          </w:tcPr>
          <w:p>
            <w:r>
              <w:t>2.7医疗设备的包装箱使用后由中标（成交）供应商负责处理。</w:t>
            </w:r>
          </w:p>
        </w:tc>
      </w:tr>
      <w:tr>
        <w:tc>
          <w:tcPr>
            <w:tcW w:type="dxa" w:w="2880"/>
            <w:vMerge/>
          </w:tcPr>
          <w:p/>
        </w:tc>
        <w:tc>
          <w:tcPr>
            <w:tcW w:type="dxa" w:w="2880"/>
            <w:vMerge/>
          </w:tcPr>
          <w:p/>
        </w:tc>
        <w:tc>
          <w:tcPr>
            <w:tcW w:type="dxa" w:w="2880"/>
          </w:tcPr>
          <w:p>
            <w:r>
              <w:t>2.8废气排放、排污等接口无条件改造为医院已有标准和制式。</w:t>
            </w:r>
          </w:p>
        </w:tc>
      </w:tr>
      <w:tr>
        <w:tc>
          <w:tcPr>
            <w:tcW w:type="dxa" w:w="2880"/>
          </w:tcPr>
          <w:p/>
        </w:tc>
        <w:tc>
          <w:tcPr>
            <w:tcW w:type="dxa" w:w="2880"/>
          </w:tcPr>
          <w:p/>
        </w:tc>
        <w:tc>
          <w:tcPr>
            <w:tcW w:type="dxa" w:w="2880"/>
          </w:tcPr>
          <w:p/>
        </w:tc>
      </w:tr>
      <w:tr>
        <w:tc>
          <w:tcPr>
            <w:tcW w:type="dxa" w:w="2880"/>
          </w:tcPr>
          <w:p>
            <w:r>
              <w:t>3</w:t>
            </w:r>
          </w:p>
        </w:tc>
        <w:tc>
          <w:tcPr>
            <w:tcW w:type="dxa" w:w="2880"/>
          </w:tcPr>
          <w:p>
            <w:r>
              <w:t>培训</w:t>
            </w:r>
          </w:p>
        </w:tc>
        <w:tc>
          <w:tcPr>
            <w:tcW w:type="dxa" w:w="2880"/>
          </w:tcPr>
          <w:p>
            <w:r>
              <w:t>3.1中标人应派专业技术人员免费对采购单位指定人员进行定期培训及指导，直至其完全掌握设备的基本故障处理技术。中标人责成厂家提供标准化操作流程、日常保养流程、质控流程、PPT版本操作教程及操作视频、电子说明书等</w:t>
            </w:r>
          </w:p>
        </w:tc>
      </w:tr>
      <w:tr>
        <w:tc>
          <w:tcPr>
            <w:tcW w:type="dxa" w:w="2880"/>
            <w:vMerge w:val="restart"/>
          </w:tcPr>
          <w:p>
            <w:r>
              <w:t>4</w:t>
            </w:r>
          </w:p>
        </w:tc>
        <w:tc>
          <w:tcPr>
            <w:tcW w:type="dxa" w:w="2880"/>
            <w:vMerge w:val="restart"/>
          </w:tcPr>
          <w:p>
            <w:r>
              <w:t>知识产权</w:t>
            </w:r>
          </w:p>
        </w:tc>
        <w:tc>
          <w:tcPr>
            <w:tcW w:type="dxa" w:w="2880"/>
          </w:tcPr>
          <w:p>
            <w:r>
              <w:t>4.1投标人应保证采购人在使用该货物或其任何一部分时，免受第三方提出的侵犯其专利权、商标权、著作权或其它知识产权的起诉。投标人保证所提供软件的合法性，所发生的任何知识产权纠纷与采购人无关。</w:t>
            </w:r>
          </w:p>
        </w:tc>
      </w:tr>
      <w:tr>
        <w:tc>
          <w:tcPr>
            <w:tcW w:type="dxa" w:w="2880"/>
            <w:vMerge/>
          </w:tcPr>
          <w:p/>
        </w:tc>
        <w:tc>
          <w:tcPr>
            <w:tcW w:type="dxa" w:w="2880"/>
            <w:vMerge/>
          </w:tcPr>
          <w:p/>
        </w:tc>
        <w:tc>
          <w:tcPr>
            <w:tcW w:type="dxa" w:w="2880"/>
          </w:tcPr>
          <w:p>
            <w:r>
              <w:t>4.2采购人购买产品后，有权对该产品与其他设备进行配套、整合或适当改进，而免受侵犯专利权的起诉。</w:t>
            </w:r>
          </w:p>
        </w:tc>
      </w:tr>
      <w:tr>
        <w:tc>
          <w:tcPr>
            <w:tcW w:type="dxa" w:w="2880"/>
          </w:tcPr>
          <w:p>
            <w:r>
              <w:t>5</w:t>
            </w:r>
          </w:p>
        </w:tc>
        <w:tc>
          <w:tcPr>
            <w:tcW w:type="dxa" w:w="2880"/>
          </w:tcPr>
          <w:p>
            <w:r>
              <w:t>付款方式</w:t>
            </w:r>
          </w:p>
        </w:tc>
        <w:tc>
          <w:tcPr>
            <w:tcW w:type="dxa" w:w="2880"/>
          </w:tcPr>
          <w:p>
            <w:r>
              <w:t>5.1产品安装、调试完毕并经过甲方验收合格后5日内，乙方需支付合同总金额的5%作为质保金到甲方指定账户；货到指定地点、验收合格并提供全额发票办理入库之日起三个月内，甲方向乙方支付全款；免费保修期满后，经采购人确认产品质量无问题及售后服务达标后，甲方无息返还乙方质保金。</w:t>
            </w:r>
          </w:p>
        </w:tc>
      </w:tr>
      <w:tr>
        <w:tc>
          <w:tcPr>
            <w:tcW w:type="dxa" w:w="2880"/>
            <w:vMerge w:val="restart"/>
          </w:tcPr>
          <w:p>
            <w:r>
              <w:t>6</w:t>
            </w:r>
          </w:p>
        </w:tc>
        <w:tc>
          <w:tcPr>
            <w:tcW w:type="dxa" w:w="2880"/>
            <w:vMerge w:val="restart"/>
          </w:tcPr>
          <w:p>
            <w:r>
              <w:t>违约责任</w:t>
            </w:r>
          </w:p>
        </w:tc>
        <w:tc>
          <w:tcPr>
            <w:tcW w:type="dxa" w:w="2880"/>
          </w:tcPr>
          <w:p>
            <w:r>
              <w:t>6.1中标人不能交货的，需偿付不能交货部分货款的  10% 的违约金并按主管部门相关规定处理。</w:t>
            </w:r>
          </w:p>
        </w:tc>
      </w:tr>
      <w:tr>
        <w:tc>
          <w:tcPr>
            <w:tcW w:type="dxa" w:w="2880"/>
            <w:vMerge/>
          </w:tcPr>
          <w:p/>
        </w:tc>
        <w:tc>
          <w:tcPr>
            <w:tcW w:type="dxa" w:w="2880"/>
            <w:vMerge/>
          </w:tcPr>
          <w:p/>
        </w:tc>
        <w:tc>
          <w:tcPr>
            <w:tcW w:type="dxa" w:w="2880"/>
          </w:tcPr>
          <w:p>
            <w:r>
              <w:t>6.2中标人逾期交货的，将被没收履约保证金并按主管部门相关规定处理。</w:t>
            </w:r>
          </w:p>
        </w:tc>
      </w:tr>
      <w:tr>
        <w:tc>
          <w:tcPr>
            <w:tcW w:type="dxa" w:w="2880"/>
            <w:vMerge/>
          </w:tcPr>
          <w:p/>
        </w:tc>
        <w:tc>
          <w:tcPr>
            <w:tcW w:type="dxa" w:w="2880"/>
            <w:vMerge/>
          </w:tcPr>
          <w:p/>
        </w:tc>
        <w:tc>
          <w:tcPr>
            <w:tcW w:type="dxa" w:w="2880"/>
          </w:tcPr>
          <w:p>
            <w:r>
              <w:t>6.3中标人所交付产品、工程或服务不符合其投标承诺的，或在投标阶段为了中标而盲目虚假承诺、低价恶性竞争，在履约阶段则通过偷工减料、以次充好而获取利润的，将被没收履约保证金，并被深圳市政府采购中心评为履约等级“差”并按主管部门相关规定处理。</w:t>
            </w:r>
          </w:p>
        </w:tc>
      </w:tr>
      <w:tr>
        <w:tc>
          <w:tcPr>
            <w:tcW w:type="dxa" w:w="2880"/>
            <w:vMerge/>
          </w:tcPr>
          <w:p/>
        </w:tc>
        <w:tc>
          <w:tcPr>
            <w:tcW w:type="dxa" w:w="2880"/>
            <w:vMerge/>
          </w:tcPr>
          <w:p/>
        </w:tc>
        <w:tc>
          <w:tcPr>
            <w:tcW w:type="dxa" w:w="2880"/>
          </w:tcPr>
          <w:p>
            <w:r/>
          </w:p>
        </w:tc>
      </w:tr>
      <w:tr>
        <w:tc>
          <w:tcPr>
            <w:tcW w:type="dxa" w:w="2880"/>
            <w:vMerge/>
          </w:tcPr>
          <w:p/>
        </w:tc>
        <w:tc>
          <w:tcPr>
            <w:tcW w:type="dxa" w:w="2880"/>
            <w:vMerge/>
          </w:tcPr>
          <w:p/>
        </w:tc>
        <w:tc>
          <w:tcPr>
            <w:tcW w:type="dxa" w:w="2880"/>
          </w:tcPr>
          <w:p>
            <w:r/>
          </w:p>
        </w:tc>
      </w:tr>
      <w:tr>
        <w:tc>
          <w:tcPr>
            <w:tcW w:type="dxa" w:w="2880"/>
          </w:tcPr>
          <w:p>
            <w:r>
              <w:t>7</w:t>
            </w:r>
          </w:p>
        </w:tc>
        <w:tc>
          <w:tcPr>
            <w:tcW w:type="dxa" w:w="2880"/>
          </w:tcPr>
          <w:p>
            <w:r>
              <w:t>数据接口要求</w:t>
            </w:r>
          </w:p>
        </w:tc>
        <w:tc>
          <w:tcPr>
            <w:tcW w:type="dxa" w:w="2880"/>
          </w:tcPr>
          <w:p>
            <w:r>
              <w:t>7.1中标（成交）供应商应无偿配合医院信息科将设备连接到信息系统中，连接信息系统过程中如需产生费用则由其承担。中标（成交）供应商不能向医院信息系统如HIS、PACS、LIS等提出另行支付接口费等费用。</w:t>
            </w:r>
          </w:p>
        </w:tc>
      </w:tr>
      <w:tr>
        <w:tc>
          <w:tcPr>
            <w:tcW w:type="dxa" w:w="2880"/>
          </w:tcPr>
          <w:p>
            <w:r>
              <w:t>8</w:t>
            </w:r>
          </w:p>
        </w:tc>
        <w:tc>
          <w:tcPr>
            <w:tcW w:type="dxa" w:w="2880"/>
          </w:tcPr>
          <w:p>
            <w:r>
              <w:t>其他</w:t>
            </w:r>
          </w:p>
        </w:tc>
        <w:tc>
          <w:tcPr>
            <w:tcW w:type="dxa" w:w="2880"/>
          </w:tcPr>
          <w:p>
            <w:r>
              <w:t>8.1投标人应按其投标文件中的承诺，进行其他售后服务工作。</w:t>
            </w:r>
          </w:p>
        </w:tc>
      </w:tr>
    </w:tbl>
    <w:tbl>
      <w:tblPr>
        <w:tblStyle w:val="TableGrid"/>
        <w:tblW w:type="auto" w:w="0"/>
        <w:tblLook w:firstColumn="1" w:firstRow="1" w:lastColumn="0" w:lastRow="0" w:noHBand="0" w:noVBand="1" w:val="04A0"/>
      </w:tblPr>
      <w:tblGrid>
        <w:gridCol w:w="1440"/>
        <w:gridCol w:w="1440"/>
        <w:gridCol w:w="1440"/>
        <w:gridCol w:w="1440"/>
        <w:gridCol w:w="1440"/>
        <w:gridCol w:w="1440"/>
      </w:tblGrid>
      <w:tr>
        <w:tc>
          <w:tcPr>
            <w:tcW w:type="dxa" w:w="1440"/>
            <w:vMerge w:val="restart"/>
          </w:tcPr>
          <w:p>
            <w:r>
              <w:t>9</w:t>
            </w:r>
          </w:p>
        </w:tc>
        <w:tc>
          <w:tcPr>
            <w:tcW w:type="dxa" w:w="1440"/>
          </w:tcPr>
          <w:p>
            <w:r>
              <w:t>配件名称</w:t>
            </w:r>
          </w:p>
        </w:tc>
        <w:tc>
          <w:tcPr>
            <w:tcW w:type="dxa" w:w="1440"/>
          </w:tcPr>
          <w:p>
            <w:r>
              <w:t>单位</w:t>
            </w:r>
          </w:p>
        </w:tc>
        <w:tc>
          <w:tcPr>
            <w:tcW w:type="dxa" w:w="1440"/>
          </w:tcPr>
          <w:p>
            <w:r>
              <w:t>单价</w:t>
            </w:r>
          </w:p>
        </w:tc>
        <w:tc>
          <w:tcPr>
            <w:tcW w:type="dxa" w:w="1440"/>
          </w:tcPr>
          <w:p>
            <w:r>
              <w:t>生产厂商</w:t>
            </w:r>
          </w:p>
        </w:tc>
        <w:tc>
          <w:tcPr>
            <w:tcW w:type="dxa" w:w="1440"/>
          </w:tcPr>
          <w:p>
            <w:r>
              <w:t>备注</w:t>
            </w:r>
          </w:p>
        </w:tc>
      </w:tr>
      <w:tr>
        <w:tc>
          <w:tcPr>
            <w:tcW w:type="dxa" w:w="1440"/>
            <w:vMerge/>
          </w:tcPr>
          <w:p/>
        </w:tc>
        <w:tc>
          <w:tcPr>
            <w:tcW w:type="dxa" w:w="1440"/>
          </w:tcPr>
          <w:p/>
        </w:tc>
        <w:tc>
          <w:tcPr>
            <w:tcW w:type="dxa" w:w="1440"/>
          </w:tcPr>
          <w:p/>
        </w:tc>
        <w:tc>
          <w:tcPr>
            <w:tcW w:type="dxa" w:w="1440"/>
          </w:tcPr>
          <w:p/>
        </w:tc>
        <w:tc>
          <w:tcPr>
            <w:tcW w:type="dxa" w:w="1440"/>
          </w:tcPr>
          <w:p/>
        </w:tc>
        <w:tc>
          <w:tcPr>
            <w:tcW w:type="dxa" w:w="1440"/>
          </w:tcPr>
          <w:p/>
        </w:tc>
      </w:tr>
    </w:tbl>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3"/>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宋体" w:hAnsi="宋体" w:eastAsia="宋体"/>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7" Type="http://schemas.openxmlformats.org/officeDocument/2006/relationships/fontTable" Target="fontTable.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